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media/image3.png" ContentType="image/png"/>
  <Override PartName="/word/media/image2.wmf" ContentType="image/x-wmf"/>
  <Override PartName="/word/media/image4.png" ContentType="image/pn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left"/>
        <w:rPr>
          <w:rFonts w:ascii="Bookman Old Style" w:hAnsi="Bookman Old Style" w:cs="Arial"/>
        </w:rPr>
      </w:pPr>
      <w:r>
        <w:rPr/>
        <w:object>
          <v:shape id="ole_rId2" style="width:28.35pt;height:28.35pt" o:ole="">
            <v:imagedata r:id="rId3" o:title=""/>
          </v:shape>
          <o:OLEObject Type="Embed" ProgID="CorelDRAW.Graphic.13" ShapeID="ole_rId2" DrawAspect="Content" ObjectID="_1018638660" r:id="rId2"/>
        </w:object>
      </w:r>
    </w:p>
    <w:p>
      <w:pPr>
        <w:pStyle w:val="Normal"/>
        <w:widowControl w:val="false"/>
        <w:jc w:val="left"/>
        <w:rPr>
          <w:rFonts w:ascii="Bookman Old Style" w:hAnsi="Bookman Old Style" w:cs="Arial"/>
        </w:rPr>
      </w:pPr>
      <w:r>
        <w:rPr>
          <w:rFonts w:cs="Arial" w:ascii="Bookman Old Style" w:hAnsi="Bookman Old Style"/>
        </w:rPr>
      </w:r>
    </w:p>
    <w:p>
      <w:pPr>
        <w:pStyle w:val="Normal"/>
        <w:widowControl w:val="false"/>
        <w:spacing w:before="0" w:after="0"/>
        <w:jc w:val="center"/>
        <w:rPr>
          <w:rFonts w:ascii="Bookman Old Style" w:hAnsi="Bookman Old Style" w:cs="Arial"/>
          <w:b/>
          <w:b/>
          <w:sz w:val="32"/>
          <w:szCs w:val="32"/>
        </w:rPr>
      </w:pPr>
      <w:r>
        <w:rPr>
          <w:rFonts w:cs="Arial" w:ascii="Bookman Old Style" w:hAnsi="Bookman Old Style"/>
          <w:b/>
          <w:sz w:val="32"/>
          <w:szCs w:val="32"/>
        </w:rPr>
        <w:t>UNIVERSIDADE FEDERAL DOS VALES DO JEQUITINHONHA E DO MUCURI</w:t>
      </w:r>
    </w:p>
    <w:p>
      <w:pPr>
        <w:pStyle w:val="Ttulo4"/>
        <w:widowControl w:val="false"/>
        <w:jc w:val="center"/>
        <w:rPr>
          <w:rFonts w:ascii="Bookman Old Style" w:hAnsi="Bookman Old Style" w:cs="Arial"/>
          <w:b/>
          <w:b/>
        </w:rPr>
      </w:pPr>
      <w:r>
        <w:rPr>
          <w:rFonts w:cs="Arial" w:ascii="Bookman Old Style" w:hAnsi="Bookman Old Style"/>
          <w:b/>
        </w:rPr>
        <w:t>CAMPUS DO MUCURI</w:t>
      </w:r>
    </w:p>
    <w:p>
      <w:pPr>
        <w:pStyle w:val="Ttulo4"/>
        <w:widowControl w:val="false"/>
        <w:jc w:val="center"/>
        <w:rPr>
          <w:rFonts w:ascii="Bookman Old Style" w:hAnsi="Bookman Old Style" w:cs="Arial"/>
          <w:b/>
          <w:b/>
        </w:rPr>
      </w:pPr>
      <w:r>
        <w:rPr>
          <w:rFonts w:cs="Arial" w:ascii="Bookman Old Style" w:hAnsi="Bookman Old Style"/>
          <w:b/>
        </w:rPr>
        <w:t>TEÓFILO OTONI - MG</w:t>
      </w:r>
    </w:p>
    <w:p>
      <w:pPr>
        <w:pStyle w:val="Corpodetexto"/>
        <w:widowControl w:val="false"/>
        <w:spacing w:lineRule="auto" w:line="360" w:before="0" w:after="0"/>
        <w:jc w:val="left"/>
        <w:rPr>
          <w:rFonts w:ascii="Bookman Old Style" w:hAnsi="Bookman Old Style" w:cs="Arial"/>
          <w:sz w:val="24"/>
          <w:lang w:val="pt-BR"/>
        </w:rPr>
      </w:pPr>
      <w:r>
        <w:rPr>
          <w:rFonts w:cs="Arial" w:ascii="Bookman Old Style" w:hAnsi="Bookman Old Style"/>
          <w:sz w:val="24"/>
          <w:lang w:val="pt-BR"/>
        </w:rPr>
      </w:r>
    </w:p>
    <w:p>
      <w:pPr>
        <w:pStyle w:val="Corpodetexto"/>
        <w:widowControl w:val="false"/>
        <w:spacing w:lineRule="auto" w:line="360" w:before="0" w:after="0"/>
        <w:jc w:val="left"/>
        <w:rPr>
          <w:rFonts w:ascii="Bookman Old Style" w:hAnsi="Bookman Old Style" w:cs="Arial"/>
          <w:sz w:val="24"/>
          <w:lang w:val="pt-BR"/>
        </w:rPr>
      </w:pPr>
      <w:r>
        <w:rPr>
          <w:rFonts w:cs="Arial" w:ascii="Bookman Old Style" w:hAnsi="Bookman Old Style"/>
          <w:sz w:val="24"/>
          <w:lang w:val="pt-BR"/>
        </w:rPr>
      </w:r>
    </w:p>
    <w:p>
      <w:pPr>
        <w:pStyle w:val="Corpodetexto"/>
        <w:widowControl w:val="false"/>
        <w:tabs>
          <w:tab w:val="left" w:pos="3990" w:leader="none"/>
        </w:tabs>
        <w:spacing w:lineRule="auto" w:line="360"/>
        <w:rPr>
          <w:lang w:val="pt-BR"/>
        </w:rPr>
      </w:pPr>
      <w:r>
        <w:rPr>
          <w:lang w:val="pt-BR"/>
        </w:rPr>
      </w:r>
    </w:p>
    <w:p>
      <w:pPr>
        <w:pStyle w:val="Corpodetexto"/>
        <w:widowControl w:val="false"/>
        <w:tabs>
          <w:tab w:val="left" w:pos="3990" w:leader="none"/>
        </w:tabs>
        <w:spacing w:lineRule="auto" w:line="360"/>
        <w:rPr>
          <w:lang w:val="pt-BR"/>
        </w:rPr>
      </w:pPr>
      <w:r>
        <w:rPr>
          <w:lang w:val="pt-BR"/>
        </w:rPr>
      </w:r>
    </w:p>
    <w:p>
      <w:pPr>
        <w:pStyle w:val="Corpodetexto"/>
        <w:widowControl w:val="false"/>
        <w:tabs>
          <w:tab w:val="left" w:pos="3990" w:leader="none"/>
        </w:tabs>
        <w:spacing w:lineRule="auto" w:line="360"/>
        <w:rPr>
          <w:lang w:val="pt-BR"/>
        </w:rPr>
      </w:pPr>
      <w:r>
        <w:rPr>
          <w:lang w:val="pt-BR"/>
        </w:rPr>
      </w:r>
    </w:p>
    <w:p>
      <w:pPr>
        <w:pStyle w:val="Corpodetexto"/>
        <w:widowControl w:val="false"/>
        <w:tabs>
          <w:tab w:val="left" w:pos="3990" w:leader="none"/>
        </w:tabs>
        <w:spacing w:lineRule="auto" w:line="360"/>
        <w:rPr>
          <w:lang w:val="pt-BR"/>
        </w:rPr>
      </w:pPr>
      <w:r>
        <w:rPr>
          <w:lang w:val="pt-BR"/>
        </w:rPr>
      </w:r>
    </w:p>
    <w:p>
      <w:pPr>
        <w:pStyle w:val="Corpodetexto"/>
        <w:widowControl w:val="false"/>
        <w:tabs>
          <w:tab w:val="left" w:pos="3990" w:leader="none"/>
        </w:tabs>
        <w:spacing w:lineRule="auto" w:line="360"/>
        <w:rPr>
          <w:lang w:val="pt-BR"/>
        </w:rPr>
      </w:pPr>
      <w:r>
        <w:rPr>
          <w:lang w:val="pt-BR"/>
        </w:rPr>
      </w:r>
    </w:p>
    <w:p>
      <w:pPr>
        <w:pStyle w:val="Corpodetexto"/>
        <w:widowControl w:val="false"/>
        <w:tabs>
          <w:tab w:val="left" w:pos="3990" w:leader="none"/>
        </w:tabs>
        <w:spacing w:lineRule="auto" w:line="360"/>
        <w:rPr>
          <w:rFonts w:ascii="Bookman Old Style" w:hAnsi="Bookman Old Style" w:cs="Arial"/>
          <w:sz w:val="24"/>
          <w:lang w:val="pt-BR"/>
        </w:rPr>
      </w:pPr>
      <w:r>
        <w:rPr>
          <w:rFonts w:cs="Arial" w:ascii="Bookman Old Style" w:hAnsi="Bookman Old Style"/>
          <w:sz w:val="24"/>
          <w:lang w:val="pt-BR"/>
        </w:rPr>
      </w:r>
    </w:p>
    <w:p>
      <w:pPr>
        <w:pStyle w:val="Corpodetexto"/>
        <w:widowControl w:val="false"/>
        <w:spacing w:lineRule="auto" w:line="360"/>
        <w:jc w:val="left"/>
        <w:rPr>
          <w:rFonts w:ascii="Bookman Old Style" w:hAnsi="Bookman Old Style" w:cs="Arial"/>
          <w:sz w:val="20"/>
          <w:lang w:val="pt-BR"/>
        </w:rPr>
      </w:pPr>
      <w:r>
        <w:rPr>
          <w:rFonts w:cs="Arial" w:ascii="Bookman Old Style" w:hAnsi="Bookman Old Style"/>
          <w:sz w:val="20"/>
          <w:lang w:val="pt-BR"/>
        </w:rPr>
      </w:r>
    </w:p>
    <w:p>
      <w:pPr>
        <w:pStyle w:val="Normal"/>
        <w:widowControl w:val="false"/>
        <w:jc w:val="center"/>
        <w:rPr>
          <w:rFonts w:ascii="Bookman Old Style" w:hAnsi="Bookman Old Style" w:cs="Arial"/>
          <w:b/>
          <w:b/>
          <w:sz w:val="40"/>
          <w:szCs w:val="40"/>
        </w:rPr>
      </w:pPr>
      <w:r>
        <w:rPr>
          <w:rFonts w:cs="Arial" w:ascii="Bookman Old Style" w:hAnsi="Bookman Old Style"/>
          <w:b/>
          <w:sz w:val="40"/>
          <w:szCs w:val="40"/>
        </w:rPr>
        <w:t>IMPLANTAÇÃO DE ACESSIBILIDADE E VAGAS ESTACIONAMENTO PARA DEFICIENTES</w:t>
      </w:r>
    </w:p>
    <w:p>
      <w:pPr>
        <w:pStyle w:val="Normal"/>
        <w:jc w:val="center"/>
        <w:rPr>
          <w:rFonts w:ascii="Bookman Old Style" w:hAnsi="Bookman Old Style"/>
          <w:b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</w:r>
    </w:p>
    <w:p>
      <w:pPr>
        <w:pStyle w:val="Normal"/>
        <w:jc w:val="center"/>
        <w:rPr>
          <w:rFonts w:ascii="Bookman Old Style" w:hAnsi="Bookman Old Style"/>
          <w:b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MEMORIAL DESCRITIVO</w:t>
      </w:r>
    </w:p>
    <w:p>
      <w:pPr>
        <w:pStyle w:val="Normal"/>
        <w:spacing w:lineRule="auto" w:line="259"/>
        <w:ind w:hanging="0"/>
        <w:jc w:val="left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br w:type="page"/>
      </w:r>
    </w:p>
    <w:p>
      <w:pPr>
        <w:pStyle w:val="Ttulo1"/>
        <w:jc w:val="center"/>
        <w:rPr/>
      </w:pPr>
      <w:r>
        <w:rPr/>
        <w:t>Memorial Descritivo</w:t>
      </w:r>
    </w:p>
    <w:p>
      <w:pPr>
        <w:pStyle w:val="Normal"/>
        <w:rPr/>
      </w:pPr>
      <w:r>
        <w:rPr/>
        <w:t>O presente documento tem por objetivo detalhar os serviços que deverão ser fornecidos e empregados para que as premissas determinadas pela FISCALIZAÇÃO sejam executados com boa técnica. Os serviços contratados serão rigorosamente executados de acordo com os critérios estabelecidos neste memorial.</w:t>
      </w:r>
    </w:p>
    <w:p>
      <w:pPr>
        <w:pStyle w:val="Ttulo2"/>
        <w:numPr>
          <w:ilvl w:val="0"/>
          <w:numId w:val="2"/>
        </w:numPr>
        <w:rPr/>
      </w:pPr>
      <w:r>
        <w:rPr/>
        <w:t>Condições gerais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A CONTRATADA é responsável pela perfeita execução dos serviços referidos neste documento, a CONTRATADA se obriga sob as responsabilidades legais vigentes a prestar toda assistência técnica e administrativa necessária. Para os serviços contratados, caberá a CONTRATADA fornecer e conservar os equipamentos e ferramentas necessárias, empregar mão-de-obra capacitada, de modo a reunir permanentemente uma equipe homogênea e suficiente para garantir a conclusão das obras com a qualidade de acordo com as normas técnicas pertinentes em vigor.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Nenhuma alteração se fará, em qualquer especificação ou mesmo em projeto, sem a verificação da estrita necessidade da alteração proposta. A autorização para tal modificação só terá validade quando confirmada por escrito. Nos casos em que este caderno for eventualmente omisso ou apresentar dúvidas de interpretação do projeto de arquitetura e/ou dos projetos complementares de engenharia, deverão ser ouvidos os responsáveis técnicos, os quais prestarão os esclarecimentos necessários.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Toda a mão de obra e o equipamento deverá ser fornecida pela CONTRATADA.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Todos os materiais empregados serão de primeira qualidade, assim como todos os serviços executados estarão em completa obediência à boa técnica, objetivando a obtenção de um acabamento esmerado nos serviços que só serão aceitos nessas condições, devendo ainda satisfazer rigorosamente as normas técnicas brasileiras vigentes.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Correrá por conta da CONTRATADA a responsabilidade sobre quaisquer acidentes de trabalho, na execução das obras e serviços contratados, uso de patentes registradas e a destruição ou danificação da obra em construção, ainda que resulte de caso fortuito ou por qualquer outra causa, até o recebimento definitivo pela CONTRATANTE, bem como as indenizações que possam vir a serem devidas a terceiros por fatos oriundos dos serviços contratados, ainda que ocorridos em via pública.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A CONTRATADA deverá providenciar os EPI’s (Equipamentos de Proteção Individuais) exigidos por lei, obrigando a utilização dos mesmos pelos operários envolvidos na obra, sendo a única responsável pela adoção destes procedimentos.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A CONTRATADA deverá atender, no que couber, aos requisitos das Normas Regulamentadoras NR-6 – Equipamento de Proteção Individual e NR-18 – Condições e Meio Ambiente de Trabalho na Indústria da Construção. A observância destas normas será de inteira responsabilidade da CONTRATADA.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A sinalização de trânsito é de responsabilidade do executor da obra de acordo com o parágrafo 1º, artigo 95 da Lei Federal Nº 9.503, a saber: “Art. 95. Nenhuma obra ou evento que possa perturbar ou interromper a livre circulação de veículos e pedestres, ou colocar em risco sua segurança, será iniciada sem permissão prévia do órgão ou entidade de trânsito com circunscrição sobre a via. § 1º A obrigação de sinalizar é do responsável pela execução ou manutenção da obra ou do evento.” Portanto, a CONTRATADA sempre deverá contar com todos os dispositivos de sinalização necessários previstos no item 3.7 “Dispositivos de Uso Temporário” do Anexo I do Código de Trânsito Brasileiro.</w:t>
      </w:r>
    </w:p>
    <w:p>
      <w:pPr>
        <w:pStyle w:val="Ttulo2"/>
        <w:numPr>
          <w:ilvl w:val="0"/>
          <w:numId w:val="2"/>
        </w:numPr>
        <w:rPr/>
      </w:pPr>
      <w:r>
        <w:rPr/>
        <w:t>Faixa Elevada de Travessia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As especificações técnicas a seguir tratam da construção física de faixa elevada de travessidana UFVJM.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Todos os materiais e insumos serão fornecidos pela CONTRATADA. Limpeza do local com a retirada de materiais sobre o calçamento, e deverá ser executado contrapiso de ligação entre a faixa de pedestre e o passeio público.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Serão efetuadas todos os cortes, escavações e aterros necessários à obtenção dos níveis do terreno para a execução da obra; de modo que não ocasionem danos a terceiros.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A execução de aterro e compactação obedecerá às normas da ABNT, sendo utilizado soquete.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Será realizado escavação manual de valas em terra compacta com profundidade 0,00m&lt;h&lt;1,00m.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Após serão executados os serviços de montagem dos gabaritos para determinar a correta demarcação para execução das faixas elevadas.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Na superfície deverá ser amarrado junto a armadura de malha de ferro 8,0 mm , apoiada sobre espaçadores, e posteriormente deverá ser executada a concretagem.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Na superfície da faixa deverá ser executada uma armadura dupla nas duas direções de barras de aço de 5/16” com espaçamento de 15x15 cm, apoiada sobre espaçadores, e posteriormente deverá ser executada a concretagem.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As faixas elevadas serão executadas em concreto usinado, com fck20 MPa, executando inicialmente um lado da via, e posteriormente, realizar a execução do outro lado da via.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Todas as faixas elevadas e rampas de acesso terão as dimensões especificadas pela Resolução CONTRAN Nº495/2014, descrita no Anexo 1 do presente memorial, com a largura de acordo com a largura da pista do respectivo logradouro em que for construída.</w:t>
      </w:r>
    </w:p>
    <w:p>
      <w:pPr>
        <w:pStyle w:val="Normal"/>
        <w:spacing w:lineRule="auto" w:line="259"/>
        <w:ind w:hanging="0"/>
        <w:jc w:val="left"/>
        <w:rPr/>
      </w:pPr>
      <w:r>
        <w:rPr/>
      </w:r>
    </w:p>
    <w:p>
      <w:pPr>
        <w:pStyle w:val="Normal"/>
        <w:spacing w:lineRule="auto" w:line="259"/>
        <w:ind w:hanging="0"/>
        <w:jc w:val="left"/>
        <w:rPr/>
      </w:pPr>
      <w:r>
        <w:rPr/>
      </w:r>
    </w:p>
    <w:p>
      <w:pPr>
        <w:pStyle w:val="Ttulo2"/>
        <w:numPr>
          <w:ilvl w:val="0"/>
          <w:numId w:val="2"/>
        </w:numPr>
        <w:rPr/>
      </w:pPr>
      <w:r>
        <w:rPr/>
        <w:t>Rebaixamento de calçada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As especificações técnicas a seguir tratam da construção física de rebaixamentos de calçadas na UFVJM.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As rampas deverão ser feita de acordo as normas da NBR 9050 descritas no anexo 2 do presente memorial abaixo. </w:t>
      </w:r>
    </w:p>
    <w:p>
      <w:pPr>
        <w:pStyle w:val="Ttulo3"/>
        <w:numPr>
          <w:ilvl w:val="1"/>
          <w:numId w:val="2"/>
        </w:numPr>
        <w:ind w:hanging="0"/>
        <w:rPr/>
      </w:pPr>
      <w:r>
        <w:rPr>
          <w:rStyle w:val="Ttulo3Char"/>
        </w:rPr>
        <w:t>Deverá ser executado um contrapiso em concreto simples, desempenado, com espessura de 06 cm, sobre um lastro de brita de 5 cm</w:t>
      </w:r>
      <w:r>
        <w:rPr/>
        <w:t>.</w:t>
      </w:r>
    </w:p>
    <w:p>
      <w:pPr>
        <w:pStyle w:val="Normal"/>
        <w:rPr/>
      </w:pPr>
      <w:r>
        <w:rPr/>
      </w:r>
    </w:p>
    <w:p>
      <w:pPr>
        <w:pStyle w:val="Ttulo2"/>
        <w:numPr>
          <w:ilvl w:val="0"/>
          <w:numId w:val="2"/>
        </w:numPr>
        <w:rPr/>
      </w:pPr>
      <w:r>
        <w:rPr/>
        <w:t>Vagas de estacionamento para portadores de deficiência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As especificações técnicas a seguir tratam da construção física de vagas de estacionamento para portadores de deficiência.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As vagas para veículos devem atender o item 6.12 da NBR 9050/15 da Associação Brasileira de Normas Técnicas da ABNT;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A previsão de vagas deve atender o estabelecido pela Tabela 7 do item 6.12.3 da NBR 9050/15 – Associação Brasileira de Normas Técnicas da ABNT e principalmente ao Decreto Federal 5.296/15.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Devem ser seguidas as devidas orientações:</w:t>
      </w:r>
    </w:p>
    <w:p>
      <w:pPr>
        <w:pStyle w:val="ListParagraph"/>
        <w:numPr>
          <w:ilvl w:val="0"/>
          <w:numId w:val="3"/>
        </w:numPr>
        <w:ind w:left="1134" w:hanging="360"/>
        <w:rPr/>
      </w:pPr>
      <w:r>
        <w:rPr/>
        <w:t xml:space="preserve">Deverá possuir localização próxima ao acesso principal do edifício, garantindo que o caminho a ser percorrido pela pessoa com deficiência ou mobilidade reduzida seja o menor possível e esteja livre de barreiras ou obstáculos; </w:t>
      </w:r>
    </w:p>
    <w:p>
      <w:pPr>
        <w:pStyle w:val="ListParagraph"/>
        <w:numPr>
          <w:ilvl w:val="0"/>
          <w:numId w:val="3"/>
        </w:numPr>
        <w:ind w:left="1134" w:hanging="360"/>
        <w:rPr/>
      </w:pPr>
      <w:r>
        <w:rPr/>
        <w:t xml:space="preserve">Deverá possuir piso regular (nivelado, firme e estável); </w:t>
      </w:r>
    </w:p>
    <w:p>
      <w:pPr>
        <w:pStyle w:val="ListParagraph"/>
        <w:numPr>
          <w:ilvl w:val="0"/>
          <w:numId w:val="3"/>
        </w:numPr>
        <w:ind w:left="1134" w:hanging="360"/>
        <w:rPr/>
      </w:pPr>
      <w:r>
        <w:rPr/>
        <w:t xml:space="preserve">Deverá possuir faixa adicional à vaga para circulação de cadeiras de rodas; </w:t>
      </w:r>
    </w:p>
    <w:p>
      <w:pPr>
        <w:pStyle w:val="ListParagraph"/>
        <w:numPr>
          <w:ilvl w:val="0"/>
          <w:numId w:val="3"/>
        </w:numPr>
        <w:ind w:left="1134" w:hanging="360"/>
        <w:rPr/>
      </w:pPr>
      <w:r>
        <w:rPr/>
        <w:t xml:space="preserve">Deverá possuir rebaixamento de guia quando necessário no alinhamento da faixa de circulação; </w:t>
      </w:r>
    </w:p>
    <w:p>
      <w:pPr>
        <w:pStyle w:val="ListParagraph"/>
        <w:numPr>
          <w:ilvl w:val="0"/>
          <w:numId w:val="3"/>
        </w:numPr>
        <w:ind w:left="1134" w:hanging="360"/>
        <w:rPr/>
      </w:pPr>
      <w:r>
        <w:rPr/>
        <w:t>Deverá possuir sinalização horizontal pintada no piso e vertical identificada com placa, de acordo com o Símbolo Internacional de Acesso – SIA; Deverá possuir número de vagas reservadas conforme o projeto.</w:t>
      </w:r>
    </w:p>
    <w:p>
      <w:pPr>
        <w:pStyle w:val="ListParagraph"/>
        <w:ind w:left="1134" w:hanging="0"/>
        <w:rPr/>
      </w:pPr>
      <w:r>
        <w:rPr/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A construção será constituída das seguintes etapas: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Deverá ser efetuado a delimitação manual de alvenaria poliédrica, inclusive afastamento;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Rebaixamento de calçadas, efetuada manualmente;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Os serviços preliminares serão executados utilizando-se equipamentos adequados, complementados com o emprego de serviço manual. A escolha dos equipamentos se fará em função da qualidade do terreno e do prazo exigido para execução da obra;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O terreno terá que ser totalmente limpo, antes do início da obra, tomando-se os devidos cuidados para evitar danos a terceiros;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 xml:space="preserve">Serão efetuadas todos os cortes, escavações e aterros necessários à obtenção dos níveis do terreno para a execução da obra; de modo que não ocasionem danos a terceiros; 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Deverá ser fornecido aterro de 1ª qualidade, inclusive compactação, nas áreas que se fizerem necessário. O reaterro será executado na medida do possível com material proveniente das escavações. A execução das escavações implicará em total responsabilidade do Construtor, pela sua resistência e estabilidade;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A execução de aterro e compactação obedecerá às normas da ABNT, sendo utilizado soquete.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Será realizado escavação manual de valas em terra compacta com profundidade 0,00m&lt;h&lt;1,00m;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Realização de corte e dobra de aço CA-60, ɸ 5,0 mm utilizado em estruturas diversas, para a confecção dos estribos das vigas;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Realização de corte e dobra de aço CA-50, ɸ 8.0 mm utilizado em estruturas diversas exceto lajes, para a confecção da armadura longitudinal das vigas;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Realização de corte e dobra de aço CA-50, ɸ 8,0 mm utilizado em estruturas diversas exceto lajes, para a confecção da armadura longitudinal dos pisos;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Armação das vigas de contenção e armadura do piso;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Após a armação das estruturas serão confeccionadas as formas para concreto em madeira serrada e = 2,50cm;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Posicionamento das formas e colocação da armadura nos locais definidos;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Confecção manual de concreto com fck = 20Mpa, preparado em obra, com betoneira, sendo que o lançamento será manual;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Lançamento manual de concreto nas formas com vibração mecânica;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Após a cura, retirada das formas e pintura com tinta à base de borracha clorada;</w:t>
      </w:r>
    </w:p>
    <w:p>
      <w:pPr>
        <w:pStyle w:val="Ttulo3"/>
        <w:numPr>
          <w:ilvl w:val="1"/>
          <w:numId w:val="4"/>
        </w:numPr>
        <w:spacing w:before="0" w:after="0"/>
        <w:rPr/>
      </w:pPr>
      <w:r>
        <w:rPr/>
        <w:t>Todas as etapas deverão atender as especificações da NBR 9050/15.</w:t>
      </w:r>
    </w:p>
    <w:p>
      <w:pPr>
        <w:pStyle w:val="Normal"/>
        <w:rPr/>
      </w:pPr>
      <w:r>
        <w:rPr/>
      </w:r>
    </w:p>
    <w:p>
      <w:pPr>
        <w:pStyle w:val="Ttulo2"/>
        <w:numPr>
          <w:ilvl w:val="0"/>
          <w:numId w:val="2"/>
        </w:numPr>
        <w:rPr/>
      </w:pPr>
      <w:r>
        <w:rPr/>
        <w:t>Instalação de Corrimãos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As especificações técnicas a seguir tratam da instalação de corrimãos nas rampas e escadas da UFVJM, conforme memória de cálculo.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Os corrimãos devem ser construídos com materiais rígidos, ser firmemente fixados às paredes, barras de suporte ou guarda-corpos, oferecer condições seguras de utilização, e ser sinalizados. Devem ser instalados em ambos os lados dos degraus isolados, das escadas fixas e das rampas; sendo obrigatoriamente de seção circular.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 xml:space="preserve">Os corrimãos das escadas e rampas serão compostos por tubos de aço galvanizado contínuos com diâmetro de 1 ¼” e braçadeira fixada na alvenaria existente. 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Todos os componentes devem receber proteção preliminar de zarcão (01 demão) com posterior aplicação de tinta esmalte sintético (02 demãos) sobre superfície metálica.</w:t>
      </w:r>
    </w:p>
    <w:p>
      <w:pPr>
        <w:pStyle w:val="Ttulo3"/>
        <w:numPr>
          <w:ilvl w:val="1"/>
          <w:numId w:val="2"/>
        </w:numPr>
        <w:ind w:hanging="0"/>
        <w:rPr/>
      </w:pPr>
      <w:r>
        <w:rPr/>
        <w:t>Para degraus isolados e escadas, a altura dos corrimãos deve ser de 0,92 m do piso, medidos de sua geratriz superior. Para rampas e opcionalmente para escadas, os corrimãos laterais devem ser instalados a duas alturas: 0,92 m e 0,70 m do piso, medidos da geratriz superior, conforme ilustração a seguir:</w:t>
      </w:r>
    </w:p>
    <w:p>
      <w:pPr>
        <w:pStyle w:val="Normal"/>
        <w:rPr/>
      </w:pPr>
      <w:r>
        <w:rPr/>
        <w:drawing>
          <wp:inline distT="0" distB="0" distL="0" distR="0">
            <wp:extent cx="4060190" cy="1485265"/>
            <wp:effectExtent l="0" t="0" r="0" b="0"/>
            <wp:docPr id="1" name="Imagem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190" cy="148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>Fonte: ABNT NBR 9050/2015</w:t>
      </w:r>
    </w:p>
    <w:p>
      <w:pPr>
        <w:pStyle w:val="Ttulo3"/>
        <w:numPr>
          <w:ilvl w:val="1"/>
          <w:numId w:val="2"/>
        </w:numPr>
        <w:spacing w:before="143" w:after="143"/>
        <w:ind w:hanging="0"/>
        <w:rPr/>
      </w:pPr>
      <w:r>
        <w:rPr/>
        <w:t xml:space="preserve">Todos os procedimentos construtivos devem atender às especificações da norma ABNT NBR 9050/2015 - </w:t>
      </w:r>
      <w:r>
        <w:rPr>
          <w:bCs/>
        </w:rPr>
        <w:t>Acessibilidade a edificações, mobiliário, espaços e equipamentos urbanos.</w:t>
      </w:r>
    </w:p>
    <w:p>
      <w:pPr>
        <w:pStyle w:val="Normal"/>
        <w:rPr/>
      </w:pPr>
      <w:r>
        <w:rPr/>
      </w:r>
    </w:p>
    <w:p>
      <w:pPr>
        <w:pStyle w:val="Ttulo3"/>
        <w:numPr>
          <w:ilvl w:val="0"/>
          <w:numId w:val="0"/>
        </w:numPr>
        <w:ind w:left="1584" w:hanging="0"/>
        <w:rPr/>
      </w:pPr>
      <w:r>
        <w:rPr/>
        <w:t>Teófilo Otoni,  04 de setembro de 2017</w:t>
      </w:r>
    </w:p>
    <w:p>
      <w:pPr>
        <w:pStyle w:val="Normal"/>
        <w:ind w:left="792" w:hanging="0"/>
        <w:rPr/>
      </w:pPr>
      <w:r>
        <w:rPr/>
      </w:r>
    </w:p>
    <w:p>
      <w:pPr>
        <w:pStyle w:val="Normal"/>
        <w:spacing w:before="0" w:after="0"/>
        <w:ind w:left="792" w:hanging="0"/>
        <w:rPr/>
      </w:pPr>
      <w:bookmarkStart w:id="0" w:name="_GoBack"/>
      <w:bookmarkEnd w:id="0"/>
      <w:r>
        <w:rPr/>
        <w:t>_________________________________________</w:t>
      </w:r>
    </w:p>
    <w:p>
      <w:pPr>
        <w:pStyle w:val="Normal"/>
        <w:spacing w:before="0" w:after="0"/>
        <w:ind w:left="792" w:hanging="0"/>
        <w:rPr/>
      </w:pPr>
      <w:r>
        <w:rPr/>
        <w:t>Eli Onofre Rodrigues de Andrade</w:t>
      </w:r>
    </w:p>
    <w:p>
      <w:pPr>
        <w:pStyle w:val="Normal"/>
        <w:spacing w:before="0" w:after="46"/>
        <w:ind w:left="792" w:hanging="0"/>
        <w:rPr/>
      </w:pPr>
      <w:r>
        <w:rPr/>
        <w:t>Eng.º Civil – CREA 40.138 D/MG</w:t>
      </w:r>
    </w:p>
    <w:p>
      <w:pPr>
        <w:pStyle w:val="Normal"/>
        <w:spacing w:before="0" w:after="46"/>
        <w:ind w:left="792" w:hanging="0"/>
        <w:rPr/>
      </w:pPr>
      <w:r>
        <w:rPr/>
      </w:r>
    </w:p>
    <w:p>
      <w:pPr>
        <w:pStyle w:val="Normal"/>
        <w:spacing w:before="0" w:after="46"/>
        <w:ind w:left="792" w:hanging="0"/>
        <w:rPr/>
      </w:pPr>
      <w:r>
        <w:rPr/>
      </w:r>
    </w:p>
    <w:p>
      <w:pPr>
        <w:pStyle w:val="Normal"/>
        <w:ind w:left="792" w:hanging="0"/>
        <w:rPr/>
      </w:pPr>
      <w:r>
        <w:rPr/>
      </w:r>
    </w:p>
    <w:p>
      <w:pPr>
        <w:pStyle w:val="Normal"/>
        <w:spacing w:before="0" w:after="0"/>
        <w:ind w:left="792" w:hanging="0"/>
        <w:jc w:val="center"/>
        <w:rPr/>
      </w:pPr>
      <w:r>
        <w:rPr/>
        <w:t>____________________________________________________</w:t>
      </w:r>
    </w:p>
    <w:p>
      <w:pPr>
        <w:pStyle w:val="Normal"/>
        <w:spacing w:before="0" w:after="103"/>
        <w:ind w:left="792" w:hanging="0"/>
        <w:jc w:val="center"/>
        <w:rPr/>
      </w:pPr>
      <w:r>
        <w:rPr/>
        <w:t>Alberto Pereira de Souza – Diretor da Infra Estrutura - UFVJM</w:t>
      </w:r>
      <w:r>
        <w:br w:type="page"/>
      </w:r>
    </w:p>
    <w:p>
      <w:pPr>
        <w:pStyle w:val="Ttulo1"/>
        <w:jc w:val="both"/>
        <w:rPr/>
      </w:pPr>
      <w:r>
        <w:rPr/>
        <w:t>Anexo 1 – Detalhamento do Dispositivo (Resolução CONTRAN Nº495/2014)</w:t>
      </w:r>
    </w:p>
    <w:p>
      <w:pPr>
        <w:pStyle w:val="Normal"/>
        <w:rPr/>
      </w:pPr>
      <w:r>
        <w:rPr/>
        <w:drawing>
          <wp:inline distT="0" distB="0" distL="0" distR="0">
            <wp:extent cx="5000625" cy="5470525"/>
            <wp:effectExtent l="0" t="0" r="0" b="0"/>
            <wp:docPr id="2" name="Imagem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0" t="0" r="7394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547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4991100" cy="8568055"/>
            <wp:effectExtent l="0" t="0" r="0" b="0"/>
            <wp:docPr id="3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0" t="0" r="7574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856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Ttulo1"/>
        <w:rPr/>
      </w:pPr>
      <w:r>
        <w:rPr/>
        <w:t>ANEXO 2 – Detalhamento rebaixamento de calçada, NBR 9050/2015</w:t>
      </w:r>
    </w:p>
    <w:p>
      <w:pPr>
        <w:pStyle w:val="Normal"/>
        <w:ind w:hanging="0"/>
        <w:jc w:val="center"/>
        <w:rPr/>
      </w:pPr>
      <w:r>
        <w:rPr/>
        <w:drawing>
          <wp:inline distT="0" distB="0" distL="0" distR="0">
            <wp:extent cx="5400040" cy="1838325"/>
            <wp:effectExtent l="0" t="0" r="0" b="0"/>
            <wp:docPr id="4" name="Imagem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hanging="0"/>
        <w:jc w:val="left"/>
        <w:rPr/>
      </w:pPr>
      <w:r>
        <w:rPr/>
        <w:t>Medidas em centímetros</w:t>
      </w:r>
    </w:p>
    <w:p>
      <w:pPr>
        <w:pStyle w:val="Normal"/>
        <w:spacing w:before="0" w:after="160"/>
        <w:ind w:hanging="0"/>
        <w:jc w:val="left"/>
        <w:rPr/>
      </w:pPr>
      <w:r>
        <w:rPr/>
        <w:t>Desenho sem escala</w: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0"/>
    <w:family w:val="swiss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Bookman Old Style">
    <w:charset w:val="00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2"/>
      <w:numFmt w:val="decimal"/>
      <w:lvlText w:val="%1."/>
      <w:lvlJc w:val="left"/>
      <w:pPr>
        <w:ind w:left="360" w:hanging="360"/>
      </w:pPr>
    </w:lvl>
    <w:lvl w:ilvl="1">
      <w:start w:val="1"/>
      <w:pStyle w:val="Ttulo3"/>
      <w:numFmt w:val="decimal"/>
      <w:lvlText w:val="%1.%2."/>
      <w:lvlJc w:val="left"/>
      <w:pPr>
        <w:ind w:left="792" w:hanging="432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lvl w:ilvl="0">
      <w:start w:val="1"/>
      <w:numFmt w:val="upperRoman"/>
      <w:lvlText w:val="%1."/>
      <w:lvlJc w:val="right"/>
      <w:pPr>
        <w:ind w:left="1571" w:hanging="360"/>
      </w:pPr>
    </w:lvl>
    <w:lvl w:ilvl="1">
      <w:start w:val="1"/>
      <w:numFmt w:val="bullet"/>
      <w:lvlText w:val="•"/>
      <w:lvlJc w:val="left"/>
      <w:pPr>
        <w:ind w:left="2486" w:hanging="555"/>
      </w:pPr>
      <w:rPr>
        <w:rFonts w:ascii="Times New Roman" w:hAnsi="Times New Roman" w:cs="Times New Roman" w:hint="default"/>
        <w:rFonts w:cs="Times New Roman"/>
      </w:r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40550"/>
    <w:pPr>
      <w:widowControl/>
      <w:bidi w:val="0"/>
      <w:spacing w:lineRule="auto" w:line="360" w:before="0" w:after="160"/>
      <w:ind w:firstLine="851"/>
      <w:jc w:val="both"/>
    </w:pPr>
    <w:rPr>
      <w:rFonts w:ascii="Times New Roman" w:hAnsi="Times New Roman" w:cs="Times New Roman" w:eastAsia="Calibri"/>
      <w:color w:val="00000A"/>
      <w:sz w:val="24"/>
      <w:szCs w:val="24"/>
      <w:lang w:val="pt-BR" w:eastAsia="en-US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740550"/>
    <w:pPr>
      <w:ind w:hanging="0"/>
      <w:jc w:val="left"/>
      <w:outlineLvl w:val="0"/>
    </w:pPr>
    <w:rPr>
      <w:b/>
      <w:sz w:val="28"/>
      <w:szCs w:val="28"/>
      <w:u w:val="single"/>
    </w:rPr>
  </w:style>
  <w:style w:type="paragraph" w:styleId="Ttulo2">
    <w:name w:val="Heading 2"/>
    <w:basedOn w:val="Ttulododocumento"/>
    <w:next w:val="Normal"/>
    <w:link w:val="Ttulo2Char"/>
    <w:uiPriority w:val="9"/>
    <w:unhideWhenUsed/>
    <w:qFormat/>
    <w:rsid w:val="00740550"/>
    <w:pPr>
      <w:widowControl w:val="false"/>
      <w:numPr>
        <w:ilvl w:val="0"/>
        <w:numId w:val="1"/>
      </w:numPr>
      <w:jc w:val="left"/>
      <w:outlineLvl w:val="0"/>
      <w:outlineLvl w:val="0"/>
    </w:pPr>
    <w:rPr>
      <w:rFonts w:ascii="Calibri" w:hAnsi="Calibri" w:eastAsia="Calibri" w:cs="" w:asciiTheme="minorHAnsi" w:cstheme="minorBidi" w:eastAsiaTheme="minorHAnsi" w:hAnsiTheme="minorHAnsi"/>
      <w:b/>
      <w:sz w:val="24"/>
      <w:szCs w:val="22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381b49"/>
    <w:pPr>
      <w:numPr>
        <w:ilvl w:val="1"/>
        <w:numId w:val="1"/>
      </w:numPr>
      <w:spacing w:before="200" w:after="200"/>
      <w:ind w:left="0" w:hanging="0"/>
      <w:outlineLvl w:val="1"/>
      <w:outlineLvl w:val="1"/>
    </w:pPr>
    <w:rPr>
      <w:b w:val="fals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06493"/>
    <w:pPr>
      <w:keepNext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uiPriority w:val="9"/>
    <w:qFormat/>
    <w:rsid w:val="00740550"/>
    <w:rPr>
      <w:rFonts w:ascii="Times New Roman" w:hAnsi="Times New Roman" w:cs="Times New Roman"/>
      <w:b/>
      <w:sz w:val="28"/>
      <w:szCs w:val="28"/>
      <w:u w:val="single"/>
    </w:rPr>
  </w:style>
  <w:style w:type="character" w:styleId="Ttulo2Char" w:customStyle="1">
    <w:name w:val="Título 2 Char"/>
    <w:basedOn w:val="DefaultParagraphFont"/>
    <w:link w:val="Ttulo2"/>
    <w:uiPriority w:val="9"/>
    <w:qFormat/>
    <w:rsid w:val="00740550"/>
    <w:rPr>
      <w:rFonts w:ascii="Times New Roman" w:hAnsi="Times New Roman" w:cs="Times New Roman"/>
      <w:b/>
      <w:sz w:val="24"/>
      <w:szCs w:val="24"/>
    </w:rPr>
  </w:style>
  <w:style w:type="character" w:styleId="Ttulo3Char" w:customStyle="1">
    <w:name w:val="Título 3 Char"/>
    <w:basedOn w:val="DefaultParagraphFont"/>
    <w:link w:val="Ttulo3"/>
    <w:uiPriority w:val="9"/>
    <w:qFormat/>
    <w:rsid w:val="00381b49"/>
    <w:rPr>
      <w:rFonts w:ascii="Times New Roman" w:hAnsi="Times New Roman" w:cs="Times New Roman"/>
      <w:sz w:val="24"/>
      <w:szCs w:val="24"/>
    </w:rPr>
  </w:style>
  <w:style w:type="character" w:styleId="Ttulo4Char" w:customStyle="1">
    <w:name w:val="Título 4 Char"/>
    <w:basedOn w:val="DefaultParagraphFont"/>
    <w:link w:val="Ttulo4"/>
    <w:uiPriority w:val="9"/>
    <w:qFormat/>
    <w:rsid w:val="00806493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4"/>
      <w:szCs w:val="24"/>
    </w:rPr>
  </w:style>
  <w:style w:type="character" w:styleId="CorpodetextoChar" w:customStyle="1">
    <w:name w:val="Corpo de texto Char"/>
    <w:basedOn w:val="DefaultParagraphFont"/>
    <w:link w:val="Corpodetexto"/>
    <w:qFormat/>
    <w:rsid w:val="00802a70"/>
    <w:rPr>
      <w:rFonts w:ascii="Calibri" w:hAnsi="Calibri" w:eastAsia="Times New Roman" w:cs="Times New Roman"/>
      <w:b/>
      <w:sz w:val="36"/>
      <w:szCs w:val="20"/>
      <w:lang w:val="en-US" w:bidi="en-US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95679a"/>
    <w:rPr>
      <w:rFonts w:ascii="Tahoma" w:hAnsi="Tahoma" w:cs="Tahoma"/>
      <w:sz w:val="16"/>
      <w:szCs w:val="16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eastAsia="Calibri" w:cs="Times New Roman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Courier New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link w:val="CorpodetextoChar"/>
    <w:rsid w:val="00802a70"/>
    <w:pPr>
      <w:spacing w:lineRule="auto" w:line="276" w:before="0" w:after="200"/>
      <w:ind w:hanging="0"/>
      <w:jc w:val="center"/>
    </w:pPr>
    <w:rPr>
      <w:rFonts w:ascii="Calibri" w:hAnsi="Calibri" w:eastAsia="Times New Roman"/>
      <w:b/>
      <w:sz w:val="36"/>
      <w:szCs w:val="20"/>
      <w:lang w:val="en-US" w:bidi="en-US"/>
    </w:rPr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ListParagraph">
    <w:name w:val="List Paragraph"/>
    <w:basedOn w:val="Normal"/>
    <w:uiPriority w:val="34"/>
    <w:qFormat/>
    <w:rsid w:val="00740550"/>
    <w:pPr>
      <w:spacing w:before="0" w:after="160"/>
      <w:ind w:left="720" w:firstLine="851"/>
      <w:contextualSpacing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5679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image" Target="media/image2.wmf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LibreOffice/5.3.4.2$Windows_x86 LibreOffice_project/f82d347ccc0be322489bf7da61d7e4ad13fe2ff3</Application>
  <Pages>7</Pages>
  <Words>1663</Words>
  <Characters>9328</Characters>
  <CharactersWithSpaces>10879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2016-10-21T11:23:00Z</dcterms:created>
  <dc:creator>UFVJM</dc:creator>
  <dc:description/>
  <dc:language>pt-BR</dc:language>
  <cp:lastModifiedBy>Administrativo</cp:lastModifiedBy>
  <cp:lastPrinted>2017-07-03T16:43:00Z</cp:lastPrinted>
  <dcterms:modified xsi:type="dcterms:W3CDTF">2017-09-06T19:48:00Z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